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CA" w:rsidRDefault="00AF4E10" w:rsidP="002E1BE6">
      <w:pPr>
        <w:keepNext/>
        <w:spacing w:before="240" w:after="120" w:line="240" w:lineRule="auto"/>
        <w:ind w:left="142" w:right="142"/>
        <w:jc w:val="both"/>
        <w:rPr>
          <w:rFonts w:ascii="Gill Sans MT" w:hAnsi="Gill Sans MT"/>
          <w:color w:val="808080"/>
        </w:rPr>
      </w:pPr>
      <w:r>
        <w:rPr>
          <w:rFonts w:ascii="Gill Sans MT" w:hAnsi="Gill Sans MT"/>
          <w:b/>
          <w:color w:val="808080"/>
        </w:rPr>
        <w:t>Entidade responsável pela emissão do</w:t>
      </w:r>
      <w:r w:rsidR="00FE1DAD">
        <w:rPr>
          <w:rFonts w:ascii="Gill Sans MT" w:hAnsi="Gill Sans MT"/>
          <w:b/>
          <w:color w:val="808080"/>
        </w:rPr>
        <w:t xml:space="preserve"> </w:t>
      </w:r>
      <w:r w:rsidR="00F117B4" w:rsidRPr="00726243">
        <w:rPr>
          <w:rFonts w:ascii="Gill Sans MT" w:hAnsi="Gill Sans MT"/>
          <w:b/>
          <w:color w:val="808080"/>
        </w:rPr>
        <w:t>Parecer prévio de localização</w:t>
      </w:r>
      <w:r>
        <w:rPr>
          <w:rFonts w:ascii="Gill Sans MT" w:hAnsi="Gill Sans MT"/>
          <w:b/>
          <w:color w:val="808080"/>
        </w:rPr>
        <w:t xml:space="preserve"> de pedreiras</w:t>
      </w:r>
    </w:p>
    <w:tbl>
      <w:tblPr>
        <w:tblStyle w:val="Tabelacomgrelha"/>
        <w:tblW w:w="0" w:type="auto"/>
        <w:tblInd w:w="142" w:type="dxa"/>
        <w:tblLook w:val="04A0" w:firstRow="1" w:lastRow="0" w:firstColumn="1" w:lastColumn="0" w:noHBand="0" w:noVBand="1"/>
      </w:tblPr>
      <w:tblGrid>
        <w:gridCol w:w="6487"/>
        <w:gridCol w:w="2800"/>
      </w:tblGrid>
      <w:tr w:rsidR="00CB2BCA" w:rsidTr="00081D28">
        <w:tc>
          <w:tcPr>
            <w:tcW w:w="6487" w:type="dxa"/>
            <w:shd w:val="clear" w:color="auto" w:fill="DBE5F1" w:themeFill="accent1" w:themeFillTint="33"/>
            <w:vAlign w:val="center"/>
          </w:tcPr>
          <w:p w:rsidR="00CB2BCA" w:rsidRPr="00081D28" w:rsidRDefault="00CB2BCA" w:rsidP="00081D28">
            <w:pPr>
              <w:ind w:right="141"/>
              <w:jc w:val="center"/>
              <w:rPr>
                <w:rFonts w:ascii="Gill Sans MT" w:eastAsia="Times New Roman" w:hAnsi="Gill Sans MT" w:cs="Times New Roman"/>
                <w:b/>
                <w:color w:val="1F497D" w:themeColor="text2"/>
                <w:sz w:val="18"/>
                <w:szCs w:val="18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b/>
                <w:color w:val="1F497D" w:themeColor="text2"/>
                <w:sz w:val="18"/>
                <w:szCs w:val="18"/>
                <w:lang w:eastAsia="pt-PT"/>
              </w:rPr>
              <w:t>Incidência da área de exploração</w:t>
            </w:r>
          </w:p>
        </w:tc>
        <w:tc>
          <w:tcPr>
            <w:tcW w:w="2800" w:type="dxa"/>
            <w:shd w:val="clear" w:color="auto" w:fill="DBE5F1" w:themeFill="accent1" w:themeFillTint="33"/>
            <w:vAlign w:val="center"/>
          </w:tcPr>
          <w:p w:rsidR="00CB2BCA" w:rsidRPr="00081D28" w:rsidRDefault="00CB2BCA" w:rsidP="00081D28">
            <w:pPr>
              <w:ind w:right="142"/>
              <w:jc w:val="center"/>
              <w:rPr>
                <w:rFonts w:ascii="Gill Sans MT" w:eastAsia="Times New Roman" w:hAnsi="Gill Sans MT" w:cs="Times New Roman"/>
                <w:b/>
                <w:color w:val="1F497D" w:themeColor="text2"/>
                <w:sz w:val="18"/>
                <w:szCs w:val="18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b/>
                <w:color w:val="1F497D" w:themeColor="text2"/>
                <w:sz w:val="18"/>
                <w:szCs w:val="18"/>
                <w:lang w:eastAsia="pt-PT"/>
              </w:rPr>
              <w:t>Entidade responsável pela emissão do parecer prévio de localização e da certidão de localização</w:t>
            </w:r>
          </w:p>
        </w:tc>
      </w:tr>
      <w:tr w:rsidR="00CB2BCA" w:rsidTr="00081D28">
        <w:tc>
          <w:tcPr>
            <w:tcW w:w="6487" w:type="dxa"/>
            <w:vAlign w:val="center"/>
          </w:tcPr>
          <w:p w:rsidR="00CB2BCA" w:rsidRPr="00081D28" w:rsidRDefault="00CB2BCA" w:rsidP="00081D28">
            <w:pPr>
              <w:spacing w:before="60" w:after="60"/>
              <w:ind w:right="142"/>
              <w:jc w:val="both"/>
              <w:rPr>
                <w:rFonts w:ascii="Gill Sans MT" w:eastAsia="Times New Roman" w:hAnsi="Gill Sans MT" w:cs="Times New Roman"/>
                <w:color w:val="1F497D" w:themeColor="text2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b/>
                <w:color w:val="1F497D" w:themeColor="text2"/>
                <w:sz w:val="18"/>
                <w:szCs w:val="18"/>
                <w:lang w:eastAsia="pt-PT"/>
              </w:rPr>
              <w:t>Áreas classificadas</w:t>
            </w:r>
            <w:r w:rsidRPr="00081D28"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  <w:t xml:space="preserve"> - as áreas que são consideradas de particular interesse para a conservação da natureza, nomeadamente áreas protegidas, sítios da Lista Nacional de Sítios, sítios de interesse comunitário, zonas especiais de conservação e zonas de proteção especial criadas nos termos da </w:t>
            </w:r>
            <w:hyperlink r:id="rId8" w:history="1">
              <w:r w:rsidRPr="00081D28">
                <w:rPr>
                  <w:rStyle w:val="Hiperligao"/>
                  <w:rFonts w:ascii="Gill Sans MT" w:eastAsia="Times New Roman" w:hAnsi="Gill Sans MT" w:cs="Times New Roman"/>
                  <w:sz w:val="18"/>
                  <w:szCs w:val="18"/>
                </w:rPr>
                <w:t>legislação em vigor</w:t>
              </w:r>
            </w:hyperlink>
            <w:r w:rsidRPr="00081D28"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  <w:t>.</w:t>
            </w:r>
            <w:r w:rsidR="00F73F1C" w:rsidRPr="00081D28"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CB2BCA" w:rsidRPr="00081D28" w:rsidRDefault="00F73F1C" w:rsidP="00081D28">
            <w:pPr>
              <w:ind w:right="141"/>
              <w:jc w:val="center"/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  <w:t>ICNF</w:t>
            </w:r>
          </w:p>
        </w:tc>
      </w:tr>
      <w:tr w:rsidR="00CB2BCA" w:rsidTr="00081D28">
        <w:tc>
          <w:tcPr>
            <w:tcW w:w="6487" w:type="dxa"/>
            <w:vAlign w:val="center"/>
          </w:tcPr>
          <w:p w:rsidR="00CB2BCA" w:rsidRPr="00081D28" w:rsidRDefault="00CB2BCA" w:rsidP="00081D28">
            <w:pPr>
              <w:spacing w:before="60" w:after="60"/>
              <w:ind w:right="142"/>
              <w:jc w:val="both"/>
              <w:rPr>
                <w:rFonts w:ascii="Gill Sans MT" w:eastAsia="Times New Roman" w:hAnsi="Gill Sans MT" w:cs="Times New Roman"/>
                <w:color w:val="1F497D" w:themeColor="text2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b/>
                <w:color w:val="1F497D" w:themeColor="text2"/>
                <w:sz w:val="18"/>
                <w:szCs w:val="18"/>
                <w:lang w:eastAsia="pt-PT"/>
              </w:rPr>
              <w:t>Área cativa</w:t>
            </w:r>
            <w:r w:rsidRPr="00081D28"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  <w:t xml:space="preserve"> - </w:t>
            </w:r>
            <w:r w:rsidRPr="00081D28">
              <w:rPr>
                <w:rFonts w:ascii="Gill Sans MT" w:hAnsi="Gill Sans MT" w:cs="TimesNewRomanPSMT"/>
                <w:color w:val="1F497D" w:themeColor="text2"/>
                <w:sz w:val="18"/>
                <w:szCs w:val="18"/>
              </w:rPr>
              <w:t xml:space="preserve">a área na qual se localizam determinadas massas minerais consideradas de relevante interesse para a economia nacional ou regional, sujeitas a condições especiais para a sua exploração nos termos </w:t>
            </w:r>
            <w:r w:rsidR="00265367">
              <w:rPr>
                <w:rFonts w:ascii="Gill Sans MT" w:hAnsi="Gill Sans MT" w:cs="TimesNewRomanPSMT"/>
                <w:color w:val="1F497D" w:themeColor="text2"/>
                <w:sz w:val="18"/>
                <w:szCs w:val="18"/>
              </w:rPr>
              <w:t>da legislação em vigor</w:t>
            </w:r>
            <w:r w:rsidRPr="00081D28">
              <w:rPr>
                <w:rFonts w:ascii="Gill Sans MT" w:hAnsi="Gill Sans MT" w:cs="TimesNewRomanPSMT"/>
                <w:color w:val="1F497D" w:themeColor="text2"/>
                <w:sz w:val="18"/>
                <w:szCs w:val="18"/>
              </w:rPr>
              <w:t>, assim definidas no respetivo PDM</w:t>
            </w:r>
            <w:r w:rsidR="00AF4E10" w:rsidRPr="00081D28">
              <w:rPr>
                <w:rFonts w:ascii="Gill Sans MT" w:hAnsi="Gill Sans MT" w:cs="TimesNewRomanPSMT"/>
                <w:color w:val="1F497D" w:themeColor="text2"/>
                <w:sz w:val="18"/>
                <w:szCs w:val="18"/>
              </w:rPr>
              <w:t>.</w:t>
            </w:r>
          </w:p>
        </w:tc>
        <w:tc>
          <w:tcPr>
            <w:tcW w:w="2800" w:type="dxa"/>
            <w:vAlign w:val="center"/>
          </w:tcPr>
          <w:p w:rsidR="00CB2BCA" w:rsidRPr="00081D28" w:rsidRDefault="00F73F1C" w:rsidP="00081D28">
            <w:pPr>
              <w:ind w:right="141"/>
              <w:jc w:val="center"/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  <w:t>Câmara Municipal</w:t>
            </w:r>
          </w:p>
        </w:tc>
      </w:tr>
      <w:tr w:rsidR="00F73F1C" w:rsidTr="00081D28">
        <w:tc>
          <w:tcPr>
            <w:tcW w:w="6487" w:type="dxa"/>
            <w:vAlign w:val="center"/>
          </w:tcPr>
          <w:p w:rsidR="00F73F1C" w:rsidRPr="00081D28" w:rsidRDefault="00F73F1C" w:rsidP="00081D28">
            <w:pPr>
              <w:spacing w:before="60" w:after="60"/>
              <w:ind w:right="142"/>
              <w:jc w:val="both"/>
              <w:rPr>
                <w:rFonts w:ascii="Gill Sans MT" w:eastAsia="Times New Roman" w:hAnsi="Gill Sans MT" w:cs="Times New Roman"/>
                <w:color w:val="1F497D" w:themeColor="text2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b/>
                <w:color w:val="1F497D" w:themeColor="text2"/>
                <w:sz w:val="18"/>
                <w:szCs w:val="18"/>
                <w:lang w:eastAsia="pt-PT"/>
              </w:rPr>
              <w:t>Área de reserva</w:t>
            </w:r>
            <w:r w:rsidRPr="00081D28"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  <w:t xml:space="preserve"> - </w:t>
            </w:r>
            <w:r w:rsidRPr="00081D28">
              <w:rPr>
                <w:rFonts w:ascii="Gill Sans MT" w:hAnsi="Gill Sans MT" w:cs="TimesNewRomanPSMT"/>
                <w:color w:val="1F497D" w:themeColor="text2"/>
                <w:sz w:val="18"/>
                <w:szCs w:val="18"/>
              </w:rPr>
              <w:t xml:space="preserve">as áreas destinadas ao aproveitamento de recursos geológicos de especial interesse para a economia nacional ou regional cuja definição visa impedir ou minorar efeitos prejudiciais para a sua exploração e se processa por decreto regulamentar, nos termos </w:t>
            </w:r>
            <w:r w:rsidR="00C12869">
              <w:rPr>
                <w:rFonts w:ascii="Gill Sans MT" w:hAnsi="Gill Sans MT" w:cs="TimesNewRomanPSMT"/>
                <w:color w:val="1F497D" w:themeColor="text2"/>
                <w:sz w:val="18"/>
                <w:szCs w:val="18"/>
              </w:rPr>
              <w:t xml:space="preserve">da </w:t>
            </w:r>
            <w:hyperlink r:id="rId9" w:history="1">
              <w:r w:rsidR="00C12869" w:rsidRPr="00C12869">
                <w:rPr>
                  <w:rStyle w:val="Hiperligao"/>
                  <w:rFonts w:ascii="Gill Sans MT" w:hAnsi="Gill Sans MT" w:cs="TimesNewRomanPSMT"/>
                  <w:sz w:val="18"/>
                  <w:szCs w:val="18"/>
                </w:rPr>
                <w:t>legislação em vigor</w:t>
              </w:r>
            </w:hyperlink>
            <w:r w:rsidR="00C12869">
              <w:rPr>
                <w:rFonts w:ascii="Gill Sans MT" w:hAnsi="Gill Sans MT" w:cs="TimesNewRomanPSMT"/>
                <w:color w:val="1F497D" w:themeColor="text2"/>
                <w:sz w:val="18"/>
                <w:szCs w:val="18"/>
              </w:rPr>
              <w:t xml:space="preserve"> e</w:t>
            </w:r>
            <w:r w:rsidRPr="00081D28">
              <w:rPr>
                <w:rFonts w:ascii="Gill Sans MT" w:hAnsi="Gill Sans MT" w:cs="TimesNewRomanPSMT"/>
                <w:color w:val="1F497D" w:themeColor="text2"/>
              </w:rPr>
              <w:t xml:space="preserve"> </w:t>
            </w:r>
            <w:r w:rsidRPr="00081D28">
              <w:rPr>
                <w:rFonts w:ascii="Gill Sans MT" w:hAnsi="Gill Sans MT" w:cs="TimesNewRomanPSMT"/>
                <w:color w:val="1F497D" w:themeColor="text2"/>
                <w:sz w:val="18"/>
                <w:szCs w:val="18"/>
              </w:rPr>
              <w:t>assim definidas no respetivo PDM.</w:t>
            </w:r>
          </w:p>
        </w:tc>
        <w:tc>
          <w:tcPr>
            <w:tcW w:w="2800" w:type="dxa"/>
            <w:vAlign w:val="center"/>
          </w:tcPr>
          <w:p w:rsidR="00F73F1C" w:rsidRPr="00081D28" w:rsidRDefault="00F73F1C" w:rsidP="00081D28">
            <w:pPr>
              <w:ind w:right="141"/>
              <w:jc w:val="center"/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  <w:t>Câmara Municipal</w:t>
            </w:r>
          </w:p>
        </w:tc>
      </w:tr>
      <w:tr w:rsidR="00F73F1C" w:rsidTr="00081D28">
        <w:tc>
          <w:tcPr>
            <w:tcW w:w="6487" w:type="dxa"/>
            <w:shd w:val="clear" w:color="auto" w:fill="1F497D" w:themeFill="text2"/>
            <w:vAlign w:val="center"/>
          </w:tcPr>
          <w:p w:rsidR="00F73F1C" w:rsidRPr="00081D28" w:rsidRDefault="00F73F1C" w:rsidP="00081D28">
            <w:pPr>
              <w:spacing w:before="60" w:after="60"/>
              <w:ind w:right="142"/>
              <w:jc w:val="both"/>
              <w:rPr>
                <w:rFonts w:ascii="Gill Sans MT" w:eastAsia="Times New Roman" w:hAnsi="Gill Sans MT" w:cs="Times New Roman"/>
                <w:b/>
                <w:color w:val="FFFFFF" w:themeColor="background1"/>
                <w:sz w:val="18"/>
                <w:szCs w:val="18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b/>
                <w:color w:val="FFFFFF" w:themeColor="background1"/>
                <w:sz w:val="18"/>
                <w:szCs w:val="18"/>
                <w:lang w:eastAsia="pt-PT"/>
              </w:rPr>
              <w:t>Restantes áreas</w:t>
            </w:r>
            <w:r w:rsidR="00AF4E10" w:rsidRPr="00081D28">
              <w:rPr>
                <w:rFonts w:ascii="Gill Sans MT" w:eastAsia="Times New Roman" w:hAnsi="Gill Sans MT" w:cs="Times New Roman"/>
                <w:b/>
                <w:color w:val="FFFFFF" w:themeColor="background1"/>
                <w:sz w:val="18"/>
                <w:szCs w:val="18"/>
                <w:lang w:eastAsia="pt-PT"/>
              </w:rPr>
              <w:t xml:space="preserve"> (não incidentes em áreas classificadas, áreas cativas ou áreas de reserva)</w:t>
            </w:r>
          </w:p>
        </w:tc>
        <w:tc>
          <w:tcPr>
            <w:tcW w:w="2800" w:type="dxa"/>
            <w:shd w:val="clear" w:color="auto" w:fill="1F497D" w:themeFill="text2"/>
            <w:vAlign w:val="center"/>
          </w:tcPr>
          <w:p w:rsidR="00F73F1C" w:rsidRPr="00081D28" w:rsidRDefault="00F73F1C" w:rsidP="00081D28">
            <w:pPr>
              <w:ind w:right="141"/>
              <w:jc w:val="center"/>
              <w:rPr>
                <w:rFonts w:ascii="Gill Sans MT" w:eastAsia="Times New Roman" w:hAnsi="Gill Sans MT" w:cs="Times New Roman"/>
                <w:b/>
                <w:color w:val="FFFFFF" w:themeColor="background1"/>
                <w:sz w:val="18"/>
                <w:szCs w:val="18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b/>
                <w:color w:val="FFFFFF" w:themeColor="background1"/>
                <w:sz w:val="18"/>
                <w:szCs w:val="18"/>
                <w:lang w:eastAsia="pt-PT"/>
              </w:rPr>
              <w:t>CCDRN</w:t>
            </w:r>
          </w:p>
        </w:tc>
      </w:tr>
      <w:tr w:rsidR="00F73F1C" w:rsidTr="00081D28">
        <w:tc>
          <w:tcPr>
            <w:tcW w:w="6487" w:type="dxa"/>
            <w:vAlign w:val="center"/>
          </w:tcPr>
          <w:p w:rsidR="00F73F1C" w:rsidRPr="00081D28" w:rsidRDefault="00F73F1C" w:rsidP="00081D28">
            <w:pPr>
              <w:spacing w:before="60" w:after="60"/>
              <w:ind w:right="142"/>
              <w:jc w:val="both"/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</w:pPr>
            <w:r w:rsidRPr="00081D28">
              <w:rPr>
                <w:rFonts w:ascii="Gill Sans MT" w:hAnsi="Gill Sans MT" w:cs="TimesNewRomanPSMT"/>
                <w:color w:val="1F497D" w:themeColor="text2"/>
                <w:sz w:val="18"/>
                <w:szCs w:val="18"/>
              </w:rPr>
              <w:t xml:space="preserve">Excetuam-se os pedidos de atribuição de licença relativos a projetos, inclusive integrados, sujeitos ao </w:t>
            </w:r>
            <w:r w:rsidRPr="00081D28">
              <w:rPr>
                <w:rFonts w:ascii="Gill Sans MT" w:hAnsi="Gill Sans MT" w:cs="TimesNewRomanPSMT"/>
                <w:b/>
                <w:color w:val="1F497D" w:themeColor="text2"/>
                <w:sz w:val="18"/>
                <w:szCs w:val="18"/>
              </w:rPr>
              <w:t>regime jurídico de avaliação de impacte ambiental</w:t>
            </w:r>
            <w:r w:rsidRPr="00081D28">
              <w:rPr>
                <w:rFonts w:ascii="Gill Sans MT" w:hAnsi="Gill Sans MT" w:cs="TimesNewRomanPSMT"/>
                <w:color w:val="1F497D" w:themeColor="text2"/>
                <w:sz w:val="18"/>
                <w:szCs w:val="18"/>
              </w:rPr>
              <w:t xml:space="preserve"> (1)</w:t>
            </w:r>
            <w:r w:rsidRPr="00081D28">
              <w:rPr>
                <w:rFonts w:ascii="Gill Sans MT" w:hAnsi="Gill Sans MT"/>
                <w:bCs/>
                <w:color w:val="1F497D" w:themeColor="text2"/>
                <w:sz w:val="18"/>
                <w:szCs w:val="18"/>
              </w:rPr>
              <w:t xml:space="preserve"> </w:t>
            </w:r>
            <w:r w:rsidRPr="00081D28">
              <w:rPr>
                <w:rFonts w:ascii="Gill Sans MT" w:hAnsi="Gill Sans MT" w:cs="TimesNewRomanPSMT"/>
                <w:color w:val="1F497D" w:themeColor="text2"/>
                <w:sz w:val="18"/>
                <w:szCs w:val="18"/>
              </w:rPr>
              <w:t>os quais, em caso de declaração de impacte ambiental (DIA) favorável ou favorável condicionada, não carecem da apresentação de certidão de localização juntamente com o pedido de licença</w:t>
            </w:r>
          </w:p>
        </w:tc>
        <w:tc>
          <w:tcPr>
            <w:tcW w:w="2800" w:type="dxa"/>
            <w:vAlign w:val="center"/>
          </w:tcPr>
          <w:p w:rsidR="00F73F1C" w:rsidRPr="00081D28" w:rsidRDefault="00F73F1C" w:rsidP="00081D28">
            <w:pPr>
              <w:ind w:right="141"/>
              <w:jc w:val="center"/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  <w:t>ISENTO</w:t>
            </w:r>
          </w:p>
          <w:p w:rsidR="00F73F1C" w:rsidRPr="00081D28" w:rsidRDefault="00F73F1C" w:rsidP="00081D28">
            <w:pPr>
              <w:ind w:right="141"/>
              <w:jc w:val="center"/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</w:pPr>
            <w:r w:rsidRPr="00081D28"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  <w:t>(DIA favorável ou favorável condicionada, dispensa a apresentação de certidão de localização</w:t>
            </w:r>
            <w:r w:rsidR="00AF4E10" w:rsidRPr="00081D28">
              <w:rPr>
                <w:rFonts w:ascii="Gill Sans MT" w:eastAsia="Times New Roman" w:hAnsi="Gill Sans MT" w:cs="Times New Roman"/>
                <w:color w:val="1F497D" w:themeColor="text2"/>
                <w:sz w:val="18"/>
                <w:szCs w:val="18"/>
                <w:lang w:eastAsia="pt-PT"/>
              </w:rPr>
              <w:t>)</w:t>
            </w:r>
          </w:p>
        </w:tc>
      </w:tr>
    </w:tbl>
    <w:p w:rsidR="002E1BE6" w:rsidRPr="002E1BE6" w:rsidRDefault="002E1BE6" w:rsidP="002E1BE6">
      <w:pPr>
        <w:keepNext/>
        <w:spacing w:before="240" w:after="120" w:line="240" w:lineRule="auto"/>
        <w:ind w:left="142" w:right="142"/>
        <w:jc w:val="both"/>
        <w:rPr>
          <w:rFonts w:ascii="Gill Sans MT" w:eastAsia="Times New Roman" w:hAnsi="Gill Sans MT" w:cs="Times New Roman"/>
          <w:color w:val="548DD4" w:themeColor="text2" w:themeTint="99"/>
          <w:lang w:eastAsia="pt-PT"/>
        </w:rPr>
      </w:pPr>
      <w:r w:rsidRPr="002E1BE6">
        <w:rPr>
          <w:rFonts w:ascii="Gill Sans MT" w:eastAsia="Times New Roman" w:hAnsi="Gill Sans MT" w:cs="Times New Roman"/>
          <w:b/>
          <w:color w:val="808080"/>
          <w:lang w:eastAsia="pt-PT"/>
        </w:rPr>
        <w:t xml:space="preserve">Taxas </w:t>
      </w:r>
      <w:r w:rsidRPr="002E1BE6">
        <w:rPr>
          <w:rFonts w:ascii="Gill Sans MT" w:eastAsia="Times New Roman" w:hAnsi="Gill Sans MT" w:cs="Times New Roman"/>
          <w:color w:val="548DD4" w:themeColor="text2" w:themeTint="99"/>
          <w:lang w:eastAsia="pt-PT"/>
        </w:rPr>
        <w:t>(Link para as taxas)</w:t>
      </w:r>
    </w:p>
    <w:p w:rsidR="002E1BE6" w:rsidRPr="002E1BE6" w:rsidRDefault="002E1BE6" w:rsidP="002E1BE6">
      <w:pPr>
        <w:spacing w:after="120" w:line="240" w:lineRule="auto"/>
        <w:ind w:left="142" w:right="142"/>
        <w:rPr>
          <w:rFonts w:ascii="Gill Sans MT" w:hAnsi="Gill Sans MT" w:cs="TimesNewRomanPSMT"/>
          <w:color w:val="808080" w:themeColor="background1" w:themeShade="80"/>
        </w:rPr>
      </w:pPr>
      <w:r w:rsidRPr="002E1BE6">
        <w:rPr>
          <w:rFonts w:ascii="Gill Sans MT" w:eastAsia="Times New Roman" w:hAnsi="Gill Sans MT" w:cs="Times New Roman"/>
          <w:color w:val="808080"/>
          <w:lang w:eastAsia="pt-PT"/>
        </w:rPr>
        <w:t xml:space="preserve">De acordo com o art.º 67.º, e </w:t>
      </w:r>
      <w:r w:rsidRPr="002E1BE6">
        <w:rPr>
          <w:rFonts w:ascii="Gill Sans MT" w:hAnsi="Gill Sans MT" w:cs="TimesNewRomanPSMT"/>
          <w:color w:val="808080" w:themeColor="background1" w:themeShade="80"/>
        </w:rPr>
        <w:t>Portaria n.º 1083/2008, de 24/09</w:t>
      </w:r>
    </w:p>
    <w:p w:rsidR="002E1BE6" w:rsidRPr="002E1BE6" w:rsidRDefault="002E1BE6" w:rsidP="002E1BE6">
      <w:pPr>
        <w:spacing w:after="120" w:line="240" w:lineRule="auto"/>
        <w:ind w:left="142" w:right="142"/>
        <w:jc w:val="both"/>
        <w:rPr>
          <w:rFonts w:ascii="Gill Sans MT" w:eastAsia="Times New Roman" w:hAnsi="Gill Sans MT" w:cs="Times New Roman"/>
          <w:color w:val="808080"/>
          <w:lang w:eastAsia="pt-PT"/>
        </w:rPr>
      </w:pPr>
      <w:r w:rsidRPr="002E1BE6">
        <w:rPr>
          <w:rFonts w:ascii="Gill Sans MT" w:eastAsia="Times New Roman" w:hAnsi="Gill Sans MT" w:cs="Times New Roman"/>
          <w:color w:val="808080"/>
          <w:lang w:eastAsia="pt-PT"/>
        </w:rPr>
        <w:t xml:space="preserve">Pela emissão do </w:t>
      </w:r>
      <w:r w:rsidRPr="002E1BE6">
        <w:rPr>
          <w:rFonts w:ascii="Gill Sans MT" w:eastAsia="Times New Roman" w:hAnsi="Gill Sans MT" w:cs="Times New Roman"/>
          <w:b/>
          <w:color w:val="808080"/>
          <w:lang w:eastAsia="pt-PT"/>
        </w:rPr>
        <w:t>parecer prévio de localização</w:t>
      </w:r>
      <w:r w:rsidRPr="002E1BE6">
        <w:rPr>
          <w:rFonts w:ascii="Gill Sans MT" w:eastAsia="Times New Roman" w:hAnsi="Gill Sans MT" w:cs="Times New Roman"/>
          <w:color w:val="808080"/>
          <w:lang w:eastAsia="pt-PT"/>
        </w:rPr>
        <w:t xml:space="preserve"> será cobrada uma taxa cujo valor consta do n.º 7 da tabela anexa à </w:t>
      </w:r>
      <w:r w:rsidRPr="002E1BE6">
        <w:rPr>
          <w:rFonts w:ascii="Gill Sans MT" w:hAnsi="Gill Sans MT" w:cs="TimesNewRomanPSMT"/>
          <w:color w:val="808080" w:themeColor="background1" w:themeShade="80"/>
        </w:rPr>
        <w:t>Portaria n.º 1083/2008.</w:t>
      </w:r>
    </w:p>
    <w:p w:rsidR="002E1BE6" w:rsidRPr="002E1BE6" w:rsidRDefault="002E1BE6" w:rsidP="002E1BE6">
      <w:pPr>
        <w:spacing w:after="120" w:line="240" w:lineRule="auto"/>
        <w:ind w:left="142" w:right="142"/>
        <w:jc w:val="both"/>
        <w:rPr>
          <w:rFonts w:ascii="Gill Sans MT" w:hAnsi="Gill Sans MT"/>
        </w:rPr>
      </w:pPr>
      <w:r w:rsidRPr="002E1BE6">
        <w:rPr>
          <w:rFonts w:ascii="Gill Sans MT" w:hAnsi="Gill Sans MT" w:cs="TimesNewRomanPSMT"/>
          <w:color w:val="808080" w:themeColor="background1" w:themeShade="80"/>
        </w:rPr>
        <w:t>As guias de pagamento das taxas são emitidas pela entidade que proferir o respetivo parecer.</w:t>
      </w:r>
    </w:p>
    <w:p w:rsidR="002E1BE6" w:rsidRPr="002E1BE6" w:rsidRDefault="002E1BE6" w:rsidP="002E1BE6">
      <w:pPr>
        <w:spacing w:after="120" w:line="240" w:lineRule="auto"/>
        <w:ind w:left="142" w:right="142"/>
        <w:jc w:val="both"/>
        <w:rPr>
          <w:rFonts w:ascii="Gill Sans MT" w:hAnsi="Gill Sans MT" w:cs="TimesNewRomanPSMT"/>
          <w:color w:val="808080" w:themeColor="background1" w:themeShade="80"/>
        </w:rPr>
      </w:pPr>
      <w:r w:rsidRPr="002E1BE6">
        <w:rPr>
          <w:rFonts w:ascii="Gill Sans MT" w:hAnsi="Gill Sans MT" w:cs="TimesNewRomanPSMT"/>
          <w:color w:val="808080" w:themeColor="background1" w:themeShade="80"/>
        </w:rPr>
        <w:t xml:space="preserve">As taxas devem ser pagas pelo requerente no prazo de </w:t>
      </w:r>
      <w:r w:rsidRPr="002E1BE6">
        <w:rPr>
          <w:rFonts w:ascii="Gill Sans MT" w:hAnsi="Gill Sans MT" w:cs="TimesNewRomanPSMT"/>
          <w:b/>
          <w:color w:val="808080" w:themeColor="background1" w:themeShade="80"/>
        </w:rPr>
        <w:t>30 dias</w:t>
      </w:r>
      <w:r w:rsidRPr="002E1BE6">
        <w:rPr>
          <w:rFonts w:ascii="Gill Sans MT" w:hAnsi="Gill Sans MT" w:cs="TimesNewRomanPSMT"/>
          <w:color w:val="808080" w:themeColor="background1" w:themeShade="80"/>
        </w:rPr>
        <w:t>, a contar da data de emissão da respetiva guia de pagamento.</w:t>
      </w:r>
    </w:p>
    <w:p w:rsidR="002E1BE6" w:rsidRPr="002E1BE6" w:rsidRDefault="002E1BE6" w:rsidP="002E1BE6">
      <w:pPr>
        <w:keepNext/>
        <w:spacing w:before="240" w:after="120" w:line="240" w:lineRule="auto"/>
        <w:ind w:left="142" w:right="142"/>
        <w:jc w:val="both"/>
        <w:rPr>
          <w:rFonts w:ascii="Gill Sans MT" w:eastAsia="Times New Roman" w:hAnsi="Gill Sans MT" w:cs="Times New Roman"/>
          <w:b/>
          <w:color w:val="808080"/>
          <w:lang w:eastAsia="pt-PT"/>
        </w:rPr>
      </w:pPr>
      <w:r w:rsidRPr="002E1BE6">
        <w:rPr>
          <w:rFonts w:ascii="Gill Sans MT" w:eastAsia="Times New Roman" w:hAnsi="Gill Sans MT" w:cs="Times New Roman"/>
          <w:b/>
          <w:color w:val="808080"/>
          <w:lang w:eastAsia="pt-PT"/>
        </w:rPr>
        <w:t>Prazo para a emissão da Certidão de Localização</w:t>
      </w:r>
    </w:p>
    <w:p w:rsidR="002E1BE6" w:rsidRPr="002E1BE6" w:rsidRDefault="002E1BE6" w:rsidP="002E1BE6">
      <w:pPr>
        <w:autoSpaceDE w:val="0"/>
        <w:autoSpaceDN w:val="0"/>
        <w:adjustRightInd w:val="0"/>
        <w:spacing w:after="240" w:line="240" w:lineRule="auto"/>
        <w:ind w:left="142" w:right="141"/>
        <w:jc w:val="both"/>
        <w:rPr>
          <w:rFonts w:ascii="Gill Sans MT" w:hAnsi="Gill Sans MT" w:cs="TimesNewRomanPSMT"/>
          <w:color w:val="808080" w:themeColor="background1" w:themeShade="80"/>
        </w:rPr>
      </w:pPr>
      <w:r w:rsidRPr="002E1BE6">
        <w:rPr>
          <w:rFonts w:ascii="Gill Sans MT" w:hAnsi="Gill Sans MT" w:cs="TimesNewRomanPSMT"/>
          <w:color w:val="808080" w:themeColor="background1" w:themeShade="80"/>
        </w:rPr>
        <w:t xml:space="preserve">As certidão de localização deve ser emitida pelas entidades competentes no prazo máximo de </w:t>
      </w:r>
      <w:r w:rsidRPr="002E1BE6">
        <w:rPr>
          <w:rFonts w:ascii="Gill Sans MT" w:hAnsi="Gill Sans MT" w:cs="TimesNewRomanPSMT"/>
          <w:b/>
          <w:color w:val="808080" w:themeColor="background1" w:themeShade="80"/>
        </w:rPr>
        <w:t>30 dias</w:t>
      </w:r>
      <w:r w:rsidRPr="002E1BE6">
        <w:rPr>
          <w:rFonts w:ascii="Gill Sans MT" w:hAnsi="Gill Sans MT" w:cs="TimesNewRomanPSMT"/>
          <w:color w:val="808080" w:themeColor="background1" w:themeShade="80"/>
        </w:rPr>
        <w:t xml:space="preserve"> após a apresentação do pedido de parecer, findo o qual, na falta de resposta, será considerado favorável, nos casos em que a área objeto do pedido se situe em área cativa, área de reserva ou em espaço para indústria extrativa como tal classificado no respetivo plano diretor municipal.</w:t>
      </w:r>
    </w:p>
    <w:p w:rsidR="002E1BE6" w:rsidRPr="002E1BE6" w:rsidRDefault="002E1BE6" w:rsidP="002E1BE6">
      <w:pPr>
        <w:keepNext/>
        <w:spacing w:before="240" w:after="120" w:line="240" w:lineRule="auto"/>
        <w:ind w:left="142" w:right="142"/>
        <w:jc w:val="both"/>
        <w:rPr>
          <w:rFonts w:ascii="Gill Sans MT" w:eastAsia="Times New Roman" w:hAnsi="Gill Sans MT" w:cs="Times New Roman"/>
          <w:b/>
          <w:color w:val="808080"/>
          <w:lang w:eastAsia="pt-PT"/>
        </w:rPr>
      </w:pPr>
      <w:r w:rsidRPr="002E1BE6">
        <w:rPr>
          <w:rFonts w:ascii="Gill Sans MT" w:eastAsia="Times New Roman" w:hAnsi="Gill Sans MT" w:cs="Times New Roman"/>
          <w:b/>
          <w:color w:val="808080"/>
          <w:lang w:eastAsia="pt-PT"/>
        </w:rPr>
        <w:t>Validade da Certidão de Localização</w:t>
      </w:r>
    </w:p>
    <w:p w:rsidR="002E1BE6" w:rsidRPr="002E1BE6" w:rsidRDefault="002E1BE6" w:rsidP="002E1BE6">
      <w:pPr>
        <w:autoSpaceDE w:val="0"/>
        <w:autoSpaceDN w:val="0"/>
        <w:adjustRightInd w:val="0"/>
        <w:spacing w:after="240" w:line="240" w:lineRule="auto"/>
        <w:ind w:left="142" w:right="141"/>
        <w:jc w:val="both"/>
        <w:rPr>
          <w:rFonts w:ascii="Gill Sans MT" w:hAnsi="Gill Sans MT" w:cs="TimesNewRomanPSMT"/>
          <w:color w:val="808080" w:themeColor="background1" w:themeShade="80"/>
        </w:rPr>
      </w:pPr>
      <w:r w:rsidRPr="002E1BE6">
        <w:rPr>
          <w:rFonts w:ascii="Gill Sans MT" w:hAnsi="Gill Sans MT" w:cs="TimesNewRomanPSMT"/>
          <w:color w:val="808080" w:themeColor="background1" w:themeShade="80"/>
        </w:rPr>
        <w:t>A certidão de localização cessa os seus efeitos com o indeferimento do pedido de atribuição de licença ou no prazo de dois anos a contar da data da respetiva emissão sem que tenha sido requerida a atribuição da licença correspondente.</w:t>
      </w:r>
      <w:bookmarkStart w:id="0" w:name="_GoBack"/>
      <w:bookmarkEnd w:id="0"/>
    </w:p>
    <w:sectPr w:rsidR="002E1BE6" w:rsidRPr="002E1BE6" w:rsidSect="00D55A1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1559" w:header="992" w:footer="55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29" w:rsidRDefault="00207529" w:rsidP="008B0770">
      <w:pPr>
        <w:spacing w:after="0" w:line="240" w:lineRule="auto"/>
      </w:pPr>
      <w:r>
        <w:separator/>
      </w:r>
    </w:p>
  </w:endnote>
  <w:endnote w:type="continuationSeparator" w:id="0">
    <w:p w:rsidR="00207529" w:rsidRDefault="00207529" w:rsidP="008B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ap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Hungar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14" w:rsidRPr="00D55A14" w:rsidRDefault="008B0770" w:rsidP="00D55A14">
    <w:pPr>
      <w:pStyle w:val="Rodap"/>
      <w:tabs>
        <w:tab w:val="clear" w:pos="4252"/>
        <w:tab w:val="clear" w:pos="8504"/>
        <w:tab w:val="center" w:pos="4536"/>
        <w:tab w:val="right" w:pos="9072"/>
      </w:tabs>
      <w:ind w:right="141"/>
      <w:rPr>
        <w:sz w:val="16"/>
        <w:szCs w:val="16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C602FC3" wp14:editId="3115083C">
          <wp:simplePos x="0" y="0"/>
          <wp:positionH relativeFrom="column">
            <wp:posOffset>948055</wp:posOffset>
          </wp:positionH>
          <wp:positionV relativeFrom="paragraph">
            <wp:posOffset>10035540</wp:posOffset>
          </wp:positionV>
          <wp:extent cx="842645" cy="322580"/>
          <wp:effectExtent l="0" t="0" r="0" b="127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0" r="50410"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0EE9A8B6" wp14:editId="34FA0976">
          <wp:simplePos x="0" y="0"/>
          <wp:positionH relativeFrom="column">
            <wp:posOffset>948055</wp:posOffset>
          </wp:positionH>
          <wp:positionV relativeFrom="paragraph">
            <wp:posOffset>10035540</wp:posOffset>
          </wp:positionV>
          <wp:extent cx="842645" cy="322580"/>
          <wp:effectExtent l="0" t="0" r="0" b="127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0" r="50410"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7749C84F" wp14:editId="649673BC">
          <wp:extent cx="847725" cy="333375"/>
          <wp:effectExtent l="0" t="0" r="9525" b="9525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5A14">
      <w:t xml:space="preserve">                                                               </w:t>
    </w:r>
    <w:r w:rsidR="00D55A14" w:rsidRPr="00D55A14">
      <w:rPr>
        <w:sz w:val="16"/>
        <w:szCs w:val="16"/>
      </w:rPr>
      <w:fldChar w:fldCharType="begin"/>
    </w:r>
    <w:r w:rsidR="00D55A14" w:rsidRPr="00D55A14">
      <w:rPr>
        <w:sz w:val="16"/>
        <w:szCs w:val="16"/>
      </w:rPr>
      <w:instrText>PAGE   \* MERGEFORMAT</w:instrText>
    </w:r>
    <w:r w:rsidR="00D55A14" w:rsidRPr="00D55A14">
      <w:rPr>
        <w:sz w:val="16"/>
        <w:szCs w:val="16"/>
      </w:rPr>
      <w:fldChar w:fldCharType="separate"/>
    </w:r>
    <w:r w:rsidR="002E1BE6">
      <w:rPr>
        <w:noProof/>
        <w:sz w:val="16"/>
        <w:szCs w:val="16"/>
      </w:rPr>
      <w:t>1</w:t>
    </w:r>
    <w:r w:rsidR="00D55A14" w:rsidRPr="00D55A14">
      <w:rPr>
        <w:sz w:val="16"/>
        <w:szCs w:val="16"/>
      </w:rPr>
      <w:fldChar w:fldCharType="end"/>
    </w:r>
    <w:r w:rsidR="00D55A14" w:rsidRPr="00D55A14">
      <w:rPr>
        <w:sz w:val="16"/>
        <w:szCs w:val="16"/>
      </w:rPr>
      <w:t>/4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A1" w:rsidRDefault="00C86FA1">
    <w:pPr>
      <w:pStyle w:val="Rodap"/>
    </w:pPr>
    <w:r>
      <w:rPr>
        <w:noProof/>
        <w:lang w:eastAsia="pt-PT"/>
      </w:rPr>
      <w:drawing>
        <wp:inline distT="0" distB="0" distL="0" distR="0" wp14:anchorId="548F78CE" wp14:editId="1F1A46A3">
          <wp:extent cx="847725" cy="333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29" w:rsidRDefault="00207529" w:rsidP="008B0770">
      <w:pPr>
        <w:spacing w:after="0" w:line="240" w:lineRule="auto"/>
      </w:pPr>
      <w:r>
        <w:separator/>
      </w:r>
    </w:p>
  </w:footnote>
  <w:footnote w:type="continuationSeparator" w:id="0">
    <w:p w:rsidR="00207529" w:rsidRDefault="00207529" w:rsidP="008B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70" w:rsidRDefault="008B0770" w:rsidP="008B0770">
    <w:pPr>
      <w:pStyle w:val="Cabealho"/>
      <w:tabs>
        <w:tab w:val="clear" w:pos="4252"/>
        <w:tab w:val="clear" w:pos="8504"/>
        <w:tab w:val="left" w:pos="5855"/>
      </w:tabs>
    </w:pPr>
    <w:r>
      <w:rPr>
        <w:rFonts w:ascii="FuturaHungary Bold" w:hAnsi="FuturaHungary Bold"/>
        <w:smallCaps/>
        <w:noProof/>
        <w:lang w:eastAsia="pt-PT"/>
      </w:rPr>
      <w:drawing>
        <wp:inline distT="0" distB="0" distL="0" distR="0" wp14:anchorId="65A9BD5E" wp14:editId="3BD2ADBE">
          <wp:extent cx="1630680" cy="491490"/>
          <wp:effectExtent l="0" t="0" r="7620" b="3810"/>
          <wp:docPr id="26" name="Imagem 26" descr="Logo2CCDRN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2CCDRN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uturaHungary Bold" w:hAnsi="FuturaHungary Bold"/>
        <w:smallCaps/>
      </w:rPr>
      <w:tab/>
    </w:r>
  </w:p>
  <w:p w:rsidR="008B0770" w:rsidRDefault="008B07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A1" w:rsidRDefault="00C86FA1">
    <w:pPr>
      <w:pStyle w:val="Cabealho"/>
    </w:pPr>
    <w:r>
      <w:rPr>
        <w:rFonts w:ascii="FuturaHungary Bold" w:hAnsi="FuturaHungary Bold"/>
        <w:smallCaps/>
        <w:noProof/>
        <w:lang w:eastAsia="pt-PT"/>
      </w:rPr>
      <w:drawing>
        <wp:inline distT="0" distB="0" distL="0" distR="0" wp14:anchorId="615CFBCE" wp14:editId="47350B7E">
          <wp:extent cx="1630680" cy="491490"/>
          <wp:effectExtent l="0" t="0" r="7620" b="3810"/>
          <wp:docPr id="2" name="Imagem 2" descr="Logo2CCDRN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2CCDRN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FAC"/>
    <w:multiLevelType w:val="hybridMultilevel"/>
    <w:tmpl w:val="FB16017E"/>
    <w:lvl w:ilvl="0" w:tplc="DD2EC806">
      <w:start w:val="1"/>
      <w:numFmt w:val="bullet"/>
      <w:lvlText w:val="N"/>
      <w:lvlJc w:val="left"/>
      <w:pPr>
        <w:ind w:left="720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3B52"/>
    <w:multiLevelType w:val="multilevel"/>
    <w:tmpl w:val="E1BC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56C69"/>
    <w:multiLevelType w:val="hybridMultilevel"/>
    <w:tmpl w:val="A01019AA"/>
    <w:lvl w:ilvl="0" w:tplc="DD2EC806">
      <w:start w:val="1"/>
      <w:numFmt w:val="bullet"/>
      <w:lvlText w:val="N"/>
      <w:lvlJc w:val="left"/>
      <w:pPr>
        <w:ind w:left="720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21B5"/>
    <w:multiLevelType w:val="hybridMultilevel"/>
    <w:tmpl w:val="9CB40D32"/>
    <w:lvl w:ilvl="0" w:tplc="DD2EC806">
      <w:start w:val="1"/>
      <w:numFmt w:val="bullet"/>
      <w:lvlText w:val="N"/>
      <w:lvlJc w:val="left"/>
      <w:pPr>
        <w:ind w:left="1287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8951B1"/>
    <w:multiLevelType w:val="multilevel"/>
    <w:tmpl w:val="533CA476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44095"/>
    <w:multiLevelType w:val="hybridMultilevel"/>
    <w:tmpl w:val="5600C07C"/>
    <w:lvl w:ilvl="0" w:tplc="D80AABB2">
      <w:start w:val="1"/>
      <w:numFmt w:val="lowerLetter"/>
      <w:lvlText w:val="%1)"/>
      <w:lvlJc w:val="left"/>
      <w:pPr>
        <w:ind w:left="502" w:hanging="360"/>
      </w:pPr>
      <w:rPr>
        <w:rFonts w:eastAsiaTheme="minorHAnsi" w:cs="TimesNewRomanPSMT" w:hint="default"/>
        <w:color w:val="808080" w:themeColor="background1" w:themeShade="8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A311ED"/>
    <w:multiLevelType w:val="hybridMultilevel"/>
    <w:tmpl w:val="AB6CC60E"/>
    <w:lvl w:ilvl="0" w:tplc="DD2EC806">
      <w:start w:val="1"/>
      <w:numFmt w:val="bullet"/>
      <w:lvlText w:val="N"/>
      <w:lvlJc w:val="left"/>
      <w:pPr>
        <w:ind w:left="1287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56CB3"/>
    <w:multiLevelType w:val="hybridMultilevel"/>
    <w:tmpl w:val="A536869E"/>
    <w:lvl w:ilvl="0" w:tplc="DD2EC806">
      <w:start w:val="1"/>
      <w:numFmt w:val="bullet"/>
      <w:lvlText w:val="N"/>
      <w:lvlJc w:val="left"/>
      <w:pPr>
        <w:ind w:left="862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06F4153"/>
    <w:multiLevelType w:val="hybridMultilevel"/>
    <w:tmpl w:val="C40A6E5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1BA5C7E"/>
    <w:multiLevelType w:val="hybridMultilevel"/>
    <w:tmpl w:val="4B6E0E3E"/>
    <w:lvl w:ilvl="0" w:tplc="DD2EC806">
      <w:start w:val="1"/>
      <w:numFmt w:val="bullet"/>
      <w:lvlText w:val="N"/>
      <w:lvlJc w:val="left"/>
      <w:pPr>
        <w:ind w:left="774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72E2B67"/>
    <w:multiLevelType w:val="multilevel"/>
    <w:tmpl w:val="A9C6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C1A79"/>
    <w:multiLevelType w:val="hybridMultilevel"/>
    <w:tmpl w:val="3A2895BC"/>
    <w:lvl w:ilvl="0" w:tplc="CD829908">
      <w:start w:val="1"/>
      <w:numFmt w:val="decimal"/>
      <w:lvlText w:val="(%1)"/>
      <w:lvlJc w:val="left"/>
      <w:pPr>
        <w:ind w:left="786" w:hanging="360"/>
      </w:pPr>
      <w:rPr>
        <w:rFonts w:cs="TimesNewRomanPSMT" w:hint="default"/>
        <w:color w:val="808080" w:themeColor="background1" w:themeShade="8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7F14A4"/>
    <w:multiLevelType w:val="hybridMultilevel"/>
    <w:tmpl w:val="F53A4ACA"/>
    <w:lvl w:ilvl="0" w:tplc="DD2EC806">
      <w:start w:val="1"/>
      <w:numFmt w:val="bullet"/>
      <w:lvlText w:val="N"/>
      <w:lvlJc w:val="left"/>
      <w:pPr>
        <w:ind w:left="1146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C20E33"/>
    <w:multiLevelType w:val="multilevel"/>
    <w:tmpl w:val="BEE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B3BD1"/>
    <w:multiLevelType w:val="multilevel"/>
    <w:tmpl w:val="0E8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B4FDE"/>
    <w:multiLevelType w:val="hybridMultilevel"/>
    <w:tmpl w:val="702EFAA8"/>
    <w:lvl w:ilvl="0" w:tplc="DD2EC806">
      <w:start w:val="1"/>
      <w:numFmt w:val="bullet"/>
      <w:lvlText w:val="N"/>
      <w:lvlJc w:val="left"/>
      <w:pPr>
        <w:ind w:left="774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F0C3630"/>
    <w:multiLevelType w:val="hybridMultilevel"/>
    <w:tmpl w:val="DA1C1026"/>
    <w:lvl w:ilvl="0" w:tplc="CC92993C">
      <w:start w:val="1"/>
      <w:numFmt w:val="decimal"/>
      <w:lvlText w:val="(%1)"/>
      <w:lvlJc w:val="left"/>
      <w:pPr>
        <w:ind w:left="927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685C55"/>
    <w:multiLevelType w:val="multilevel"/>
    <w:tmpl w:val="C57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970C3"/>
    <w:multiLevelType w:val="multilevel"/>
    <w:tmpl w:val="6200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8"/>
  </w:num>
  <w:num w:numId="5">
    <w:abstractNumId w:val="14"/>
  </w:num>
  <w:num w:numId="6">
    <w:abstractNumId w:val="17"/>
  </w:num>
  <w:num w:numId="7">
    <w:abstractNumId w:val="12"/>
  </w:num>
  <w:num w:numId="8">
    <w:abstractNumId w:val="8"/>
  </w:num>
  <w:num w:numId="9">
    <w:abstractNumId w:val="4"/>
  </w:num>
  <w:num w:numId="10">
    <w:abstractNumId w:val="15"/>
  </w:num>
  <w:num w:numId="11">
    <w:abstractNumId w:val="9"/>
  </w:num>
  <w:num w:numId="12">
    <w:abstractNumId w:val="2"/>
  </w:num>
  <w:num w:numId="13">
    <w:abstractNumId w:val="0"/>
  </w:num>
  <w:num w:numId="14">
    <w:abstractNumId w:val="7"/>
  </w:num>
  <w:num w:numId="15">
    <w:abstractNumId w:val="3"/>
  </w:num>
  <w:num w:numId="16">
    <w:abstractNumId w:val="16"/>
  </w:num>
  <w:num w:numId="17">
    <w:abstractNumId w:val="6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4D"/>
    <w:rsid w:val="00011A5D"/>
    <w:rsid w:val="00034223"/>
    <w:rsid w:val="00064963"/>
    <w:rsid w:val="00081D28"/>
    <w:rsid w:val="000913D6"/>
    <w:rsid w:val="0009384F"/>
    <w:rsid w:val="000B12FA"/>
    <w:rsid w:val="000C4F59"/>
    <w:rsid w:val="000E0588"/>
    <w:rsid w:val="000E50A5"/>
    <w:rsid w:val="000E7F8D"/>
    <w:rsid w:val="00156F90"/>
    <w:rsid w:val="00177EEF"/>
    <w:rsid w:val="001819B6"/>
    <w:rsid w:val="001B0A51"/>
    <w:rsid w:val="001E1D5F"/>
    <w:rsid w:val="001F0177"/>
    <w:rsid w:val="00207529"/>
    <w:rsid w:val="002501F8"/>
    <w:rsid w:val="00265367"/>
    <w:rsid w:val="00273D02"/>
    <w:rsid w:val="002C4EBB"/>
    <w:rsid w:val="002E1BE6"/>
    <w:rsid w:val="002F3FA9"/>
    <w:rsid w:val="00312C11"/>
    <w:rsid w:val="0035208C"/>
    <w:rsid w:val="003D5388"/>
    <w:rsid w:val="00417A8A"/>
    <w:rsid w:val="004929C1"/>
    <w:rsid w:val="004D2F34"/>
    <w:rsid w:val="00516FEC"/>
    <w:rsid w:val="00565E18"/>
    <w:rsid w:val="00571DC2"/>
    <w:rsid w:val="005A5CF1"/>
    <w:rsid w:val="005C5C5F"/>
    <w:rsid w:val="006002A0"/>
    <w:rsid w:val="00690CC5"/>
    <w:rsid w:val="006A1A92"/>
    <w:rsid w:val="006A3468"/>
    <w:rsid w:val="006B4CD3"/>
    <w:rsid w:val="007041F3"/>
    <w:rsid w:val="00726243"/>
    <w:rsid w:val="00760EA7"/>
    <w:rsid w:val="00774F9E"/>
    <w:rsid w:val="00787841"/>
    <w:rsid w:val="007A5941"/>
    <w:rsid w:val="007D69ED"/>
    <w:rsid w:val="00807404"/>
    <w:rsid w:val="00841031"/>
    <w:rsid w:val="00863ADD"/>
    <w:rsid w:val="008B0770"/>
    <w:rsid w:val="008F0FAF"/>
    <w:rsid w:val="0096118B"/>
    <w:rsid w:val="009736ED"/>
    <w:rsid w:val="00980681"/>
    <w:rsid w:val="009A57A6"/>
    <w:rsid w:val="009C1F0A"/>
    <w:rsid w:val="00A0364D"/>
    <w:rsid w:val="00A23807"/>
    <w:rsid w:val="00A3528D"/>
    <w:rsid w:val="00A5395F"/>
    <w:rsid w:val="00A67D32"/>
    <w:rsid w:val="00A83DC4"/>
    <w:rsid w:val="00A906A5"/>
    <w:rsid w:val="00A91AFA"/>
    <w:rsid w:val="00AA4C9A"/>
    <w:rsid w:val="00AD232F"/>
    <w:rsid w:val="00AF4E10"/>
    <w:rsid w:val="00B1482D"/>
    <w:rsid w:val="00B17D3D"/>
    <w:rsid w:val="00B356BA"/>
    <w:rsid w:val="00B413A4"/>
    <w:rsid w:val="00C020B1"/>
    <w:rsid w:val="00C076E2"/>
    <w:rsid w:val="00C12869"/>
    <w:rsid w:val="00C16753"/>
    <w:rsid w:val="00C23839"/>
    <w:rsid w:val="00C43AAB"/>
    <w:rsid w:val="00C56B45"/>
    <w:rsid w:val="00C625ED"/>
    <w:rsid w:val="00C86FA1"/>
    <w:rsid w:val="00CB2BCA"/>
    <w:rsid w:val="00CE6501"/>
    <w:rsid w:val="00CE671B"/>
    <w:rsid w:val="00D21502"/>
    <w:rsid w:val="00D55A14"/>
    <w:rsid w:val="00D6009E"/>
    <w:rsid w:val="00D85C87"/>
    <w:rsid w:val="00DA3504"/>
    <w:rsid w:val="00DB30EC"/>
    <w:rsid w:val="00DB3B69"/>
    <w:rsid w:val="00DF0059"/>
    <w:rsid w:val="00DF1A07"/>
    <w:rsid w:val="00E01656"/>
    <w:rsid w:val="00E14EE2"/>
    <w:rsid w:val="00E3510B"/>
    <w:rsid w:val="00E53841"/>
    <w:rsid w:val="00E73F2E"/>
    <w:rsid w:val="00EB46E6"/>
    <w:rsid w:val="00EC5C5A"/>
    <w:rsid w:val="00EE066B"/>
    <w:rsid w:val="00F117B4"/>
    <w:rsid w:val="00F73F1C"/>
    <w:rsid w:val="00F862FC"/>
    <w:rsid w:val="00F951A4"/>
    <w:rsid w:val="00FC2D3A"/>
    <w:rsid w:val="00FD30C8"/>
    <w:rsid w:val="00FE1DAD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33F8042-4288-4910-8301-00AE6B0D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036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36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gctitulo1">
    <w:name w:val="gctitulo1"/>
    <w:basedOn w:val="Tipodeletrapredefinidodopargrafo"/>
    <w:rsid w:val="00A0364D"/>
    <w:rPr>
      <w:rFonts w:ascii="Verdana" w:hAnsi="Verdana" w:hint="default"/>
      <w:b/>
      <w:bCs/>
      <w:strike w:val="0"/>
      <w:dstrike w:val="0"/>
      <w:color w:val="808080"/>
      <w:sz w:val="16"/>
      <w:szCs w:val="16"/>
      <w:u w:val="none"/>
      <w:effect w:val="none"/>
    </w:rPr>
  </w:style>
  <w:style w:type="character" w:styleId="Forte">
    <w:name w:val="Strong"/>
    <w:basedOn w:val="Tipodeletrapredefinidodopargrafo"/>
    <w:uiPriority w:val="22"/>
    <w:qFormat/>
    <w:rsid w:val="00A0364D"/>
    <w:rPr>
      <w:b/>
      <w:bCs/>
    </w:rPr>
  </w:style>
  <w:style w:type="character" w:customStyle="1" w:styleId="gctitulo">
    <w:name w:val="gctitulo"/>
    <w:basedOn w:val="Tipodeletrapredefinidodopargrafo"/>
    <w:rsid w:val="00E53841"/>
  </w:style>
  <w:style w:type="character" w:styleId="Hiperligaovisitada">
    <w:name w:val="FollowedHyperlink"/>
    <w:basedOn w:val="Tipodeletrapredefinidodopargrafo"/>
    <w:uiPriority w:val="99"/>
    <w:semiHidden/>
    <w:unhideWhenUsed/>
    <w:rsid w:val="00DB30EC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F0059"/>
    <w:pPr>
      <w:ind w:left="720"/>
      <w:contextualSpacing/>
    </w:pPr>
  </w:style>
  <w:style w:type="table" w:styleId="Tabelacomgrelha">
    <w:name w:val="Table Grid"/>
    <w:basedOn w:val="Tabelanormal"/>
    <w:uiPriority w:val="59"/>
    <w:rsid w:val="006A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8B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0770"/>
  </w:style>
  <w:style w:type="paragraph" w:styleId="Rodap">
    <w:name w:val="footer"/>
    <w:basedOn w:val="Normal"/>
    <w:link w:val="RodapCarter"/>
    <w:uiPriority w:val="99"/>
    <w:unhideWhenUsed/>
    <w:rsid w:val="008B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0770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6009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6009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6009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6009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6009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6009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6009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600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2" w:space="0" w:color="CCCCCC"/>
      </w:divBdr>
      <w:divsChild>
        <w:div w:id="1245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CCCCCC"/>
              </w:divBdr>
              <w:divsChild>
                <w:div w:id="130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</w:div>
                <w:div w:id="1829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2" w:space="0" w:color="CCCCCC"/>
      </w:divBdr>
      <w:divsChild>
        <w:div w:id="890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CCCCCC"/>
              </w:divBdr>
              <w:divsChild>
                <w:div w:id="17552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</w:div>
                <w:div w:id="9126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  <w:divsChild>
                    <w:div w:id="65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  <w:divsChild>
                    <w:div w:id="15257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  <w:divsChild>
                    <w:div w:id="19868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  <w:divsChild>
                    <w:div w:id="2423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application/file/64130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e.pt/application/file/75395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A993-DB2E-4B0F-84CC-B44E4323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correia</dc:creator>
  <cp:lastModifiedBy>Jose Freire</cp:lastModifiedBy>
  <cp:revision>7</cp:revision>
  <dcterms:created xsi:type="dcterms:W3CDTF">2014-10-16T11:33:00Z</dcterms:created>
  <dcterms:modified xsi:type="dcterms:W3CDTF">2016-09-26T15:30:00Z</dcterms:modified>
</cp:coreProperties>
</file>